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3960" w:hanging="3960" w:hangingChars="900"/>
        <w:jc w:val="left"/>
        <w:textAlignment w:val="auto"/>
        <w:rPr>
          <w:rFonts w:ascii="黑体" w:hAnsi="黑体" w:eastAsia="黑体" w:cs="JTIVKR+ºÚÌå"/>
          <w:sz w:val="44"/>
          <w:szCs w:val="44"/>
          <w:lang w:eastAsia="zh-CN"/>
        </w:rPr>
      </w:pPr>
      <w:r>
        <w:rPr>
          <w:rFonts w:ascii="黑体" w:hAnsi="黑体" w:eastAsia="黑体" w:cs="JTIVKR+ºÚÌå"/>
          <w:sz w:val="44"/>
          <w:szCs w:val="44"/>
          <w:lang w:eastAsia="zh-CN"/>
        </w:rPr>
        <w:t>南京城市职业学院毕业设计（论文）管理办法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3960" w:hanging="3960" w:hangingChars="900"/>
        <w:jc w:val="center"/>
        <w:textAlignment w:val="auto"/>
        <w:rPr>
          <w:rFonts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JTIVKR+ºÚÌå"/>
          <w:sz w:val="44"/>
          <w:szCs w:val="44"/>
          <w:lang w:eastAsia="zh-CN"/>
        </w:rPr>
        <w:t>（修订）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毕业设计（论文）是</w:t>
      </w:r>
      <w:r>
        <w:rPr>
          <w:rFonts w:ascii="仿宋" w:hAnsi="仿宋" w:eastAsia="仿宋" w:cs="BPMGOD+·ÂËÎ_GB2312"/>
          <w:spacing w:val="1"/>
          <w:sz w:val="32"/>
          <w:szCs w:val="32"/>
          <w:lang w:eastAsia="zh-CN"/>
        </w:rPr>
        <w:t>高职院校人才培养方案的重要组成部分</w:t>
      </w:r>
      <w:r>
        <w:rPr>
          <w:rFonts w:hint="eastAsia" w:ascii="仿宋" w:hAnsi="仿宋" w:eastAsia="仿宋" w:cs="BPMGOD+·ÂËÎ_GB2312"/>
          <w:spacing w:val="1"/>
          <w:sz w:val="32"/>
          <w:szCs w:val="32"/>
          <w:lang w:eastAsia="zh-CN"/>
        </w:rPr>
        <w:t>,是教学、实践、创新相结合的综合性学习环节，也是锻炼学生工作作风和工作能力的重要手段。</w:t>
      </w:r>
      <w:r>
        <w:rPr>
          <w:rFonts w:ascii="仿宋" w:hAnsi="仿宋" w:eastAsia="仿宋" w:cs="BPMGOD+·ÂËÎ_GB2312"/>
          <w:spacing w:val="1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BPMGOD+·ÂËÎ_GB2312"/>
          <w:spacing w:val="1"/>
          <w:sz w:val="32"/>
          <w:szCs w:val="32"/>
          <w:lang w:eastAsia="zh-CN"/>
        </w:rPr>
        <w:t>进一步加强</w:t>
      </w:r>
      <w:r>
        <w:rPr>
          <w:rFonts w:ascii="仿宋" w:hAnsi="仿宋" w:eastAsia="仿宋" w:cs="BPMGOD+·ÂËÎ_GB2312"/>
          <w:spacing w:val="1"/>
          <w:sz w:val="32"/>
          <w:szCs w:val="32"/>
          <w:lang w:eastAsia="zh-CN"/>
        </w:rPr>
        <w:t>毕业设计（论文）工作</w:t>
      </w:r>
      <w:r>
        <w:rPr>
          <w:rFonts w:hint="eastAsia" w:ascii="仿宋" w:hAnsi="仿宋" w:eastAsia="仿宋" w:cs="BPMGOD+·ÂËÎ_GB2312"/>
          <w:spacing w:val="1"/>
          <w:sz w:val="32"/>
          <w:szCs w:val="32"/>
          <w:lang w:eastAsia="zh-CN"/>
        </w:rPr>
        <w:t>管理</w:t>
      </w:r>
      <w:r>
        <w:rPr>
          <w:rFonts w:ascii="仿宋" w:hAnsi="仿宋" w:eastAsia="仿宋" w:cs="BPMGOD+·ÂËÎ_GB2312"/>
          <w:spacing w:val="1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BPMGOD+·ÂËÎ_GB2312"/>
          <w:spacing w:val="1"/>
          <w:sz w:val="32"/>
          <w:szCs w:val="32"/>
          <w:lang w:eastAsia="zh-CN"/>
        </w:rPr>
        <w:t>全面提高毕业设计（论文）</w:t>
      </w:r>
      <w:r>
        <w:rPr>
          <w:rFonts w:ascii="仿宋" w:hAnsi="仿宋" w:eastAsia="仿宋" w:cs="BPMGOD+·ÂËÎ_GB2312"/>
          <w:sz w:val="32"/>
          <w:szCs w:val="32"/>
          <w:lang w:eastAsia="zh-CN"/>
        </w:rPr>
        <w:t>质量，</w:t>
      </w:r>
      <w:r>
        <w:rPr>
          <w:rFonts w:hint="eastAsia" w:ascii="仿宋" w:hAnsi="仿宋" w:eastAsia="仿宋" w:cs="BPMGOD+·ÂËÎ_GB2312"/>
          <w:sz w:val="32"/>
          <w:szCs w:val="32"/>
          <w:lang w:eastAsia="zh-CN"/>
        </w:rPr>
        <w:t>制定本办法</w:t>
      </w:r>
      <w:r>
        <w:rPr>
          <w:rFonts w:ascii="仿宋" w:hAnsi="仿宋" w:eastAsia="仿宋" w:cs="BPMGOD+·ÂËÎ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8" w:firstLineChars="282"/>
        <w:jc w:val="both"/>
        <w:textAlignment w:val="auto"/>
        <w:rPr>
          <w:rFonts w:ascii="黑体" w:hAnsi="黑体" w:eastAsia="黑体" w:cs="BPMGOD+·ÂËÎ_GB2312"/>
          <w:spacing w:val="1"/>
          <w:sz w:val="32"/>
          <w:szCs w:val="32"/>
        </w:rPr>
      </w:pPr>
      <w:r>
        <w:rPr>
          <w:rFonts w:hint="eastAsia" w:ascii="黑体" w:hAnsi="黑体" w:eastAsia="黑体" w:cs="BPMGOD+·ÂËÎ_GB2312"/>
          <w:spacing w:val="1"/>
          <w:sz w:val="32"/>
          <w:szCs w:val="32"/>
        </w:rPr>
        <w:t>一、毕业设计(论文)目的和任务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4" w:firstLineChars="200"/>
        <w:jc w:val="both"/>
        <w:textAlignment w:val="auto"/>
        <w:rPr>
          <w:rFonts w:ascii="仿宋" w:hAnsi="仿宋" w:eastAsia="仿宋" w:cs="BPMGOD+·ÂËÎ_GB2312"/>
          <w:spacing w:val="1"/>
          <w:sz w:val="32"/>
          <w:szCs w:val="32"/>
        </w:rPr>
      </w:pPr>
      <w:r>
        <w:rPr>
          <w:rFonts w:hint="eastAsia" w:ascii="仿宋" w:hAnsi="仿宋" w:eastAsia="仿宋" w:cs="BPMGOD+·ÂËÎ_GB2312"/>
          <w:spacing w:val="1"/>
          <w:sz w:val="32"/>
          <w:szCs w:val="32"/>
        </w:rPr>
        <w:t>毕业设计(论文)是全面检验学生综合运用所学知识和技能，观察、分析和解决实际问题能力的重要实践教学环节，是学生综合素质与培养效果的全面检验，也是学生毕业资格认定的重要条件之一。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4" w:firstLineChars="200"/>
        <w:jc w:val="both"/>
        <w:textAlignment w:val="auto"/>
        <w:rPr>
          <w:rFonts w:ascii="仿宋" w:hAnsi="仿宋" w:eastAsia="仿宋" w:cs="BPMGOD+·ÂËÎ_GB2312"/>
          <w:spacing w:val="1"/>
          <w:sz w:val="32"/>
          <w:szCs w:val="32"/>
        </w:rPr>
      </w:pPr>
      <w:r>
        <w:rPr>
          <w:rFonts w:hint="eastAsia" w:ascii="仿宋" w:hAnsi="仿宋" w:eastAsia="仿宋" w:cs="BPMGOD+·ÂËÎ_GB2312"/>
          <w:spacing w:val="1"/>
          <w:sz w:val="32"/>
          <w:szCs w:val="32"/>
        </w:rPr>
        <w:t>毕业设计(论文)的任务是：通过毕业设计(论文)题目选择、资料查询、开题报告编制、具体设计实施、成果总结、论文撰写和答辩中语言表述等环节，全面训练并提高学生调查研究的能力，文献资料查阅与运用能力，方案论证、分析与选择能力，综合运用所学知识定性和定量分析问题能力，以及理论概括与文字表述能力、计算机应用能力，为今后的工作和继续学习打下良好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8" w:firstLineChars="282"/>
        <w:jc w:val="both"/>
        <w:textAlignment w:val="auto"/>
        <w:rPr>
          <w:rFonts w:ascii="黑体" w:hAnsi="黑体" w:eastAsia="黑体" w:cs="BPMGOD+·ÂËÎ_GB2312"/>
          <w:spacing w:val="1"/>
          <w:sz w:val="32"/>
          <w:szCs w:val="32"/>
        </w:rPr>
      </w:pPr>
      <w:r>
        <w:rPr>
          <w:rFonts w:hint="eastAsia" w:ascii="黑体" w:hAnsi="黑体" w:eastAsia="黑体" w:cs="BPMGOD+·ÂËÎ_GB2312"/>
          <w:spacing w:val="1"/>
          <w:sz w:val="32"/>
          <w:szCs w:val="32"/>
        </w:rPr>
        <w:t>二、毕业设计(论文)管理职责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4" w:firstLineChars="200"/>
        <w:jc w:val="both"/>
        <w:textAlignment w:val="auto"/>
        <w:rPr>
          <w:rFonts w:ascii="仿宋" w:hAnsi="仿宋" w:eastAsia="仿宋" w:cs="BPMGOD+·ÂËÎ_GB2312"/>
          <w:spacing w:val="1"/>
          <w:sz w:val="32"/>
          <w:szCs w:val="32"/>
        </w:rPr>
      </w:pPr>
      <w:r>
        <w:rPr>
          <w:rFonts w:hint="eastAsia" w:ascii="仿宋" w:hAnsi="仿宋" w:eastAsia="仿宋" w:cs="BPMGOD+·ÂËÎ_GB2312"/>
          <w:spacing w:val="1"/>
          <w:sz w:val="32"/>
          <w:szCs w:val="32"/>
        </w:rPr>
        <w:t>毕业设计(论文)工作在分管教学副校长领导下，由教务处、二级学院（教学点）负责管理、指导、检查、实施、考核、总结等。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4" w:firstLineChars="200"/>
        <w:jc w:val="both"/>
        <w:textAlignment w:val="auto"/>
        <w:rPr>
          <w:rFonts w:ascii="仿宋" w:hAnsi="仿宋" w:eastAsia="仿宋" w:cs="BPMGOD+·ÂËÎ_GB2312"/>
          <w:spacing w:val="1"/>
          <w:sz w:val="32"/>
          <w:szCs w:val="32"/>
        </w:rPr>
      </w:pPr>
      <w:r>
        <w:rPr>
          <w:rFonts w:hint="eastAsia" w:ascii="仿宋" w:hAnsi="仿宋" w:eastAsia="仿宋" w:cs="BPMGOD+·ÂËÎ_GB2312"/>
          <w:spacing w:val="1"/>
          <w:sz w:val="32"/>
          <w:szCs w:val="32"/>
        </w:rPr>
        <w:t>1.学校职责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4" w:firstLineChars="200"/>
        <w:jc w:val="both"/>
        <w:textAlignment w:val="auto"/>
        <w:rPr>
          <w:rFonts w:ascii="仿宋" w:hAnsi="仿宋" w:eastAsia="仿宋" w:cs="BPMGOD+·ÂËÎ_GB2312"/>
          <w:spacing w:val="1"/>
          <w:sz w:val="32"/>
          <w:szCs w:val="32"/>
        </w:rPr>
      </w:pPr>
      <w:r>
        <w:rPr>
          <w:rFonts w:hint="eastAsia" w:ascii="仿宋" w:hAnsi="仿宋" w:eastAsia="仿宋" w:cs="BPMGOD+·ÂËÎ_GB2312"/>
          <w:spacing w:val="1"/>
          <w:sz w:val="32"/>
          <w:szCs w:val="32"/>
        </w:rPr>
        <w:t>教务处负责全校毕业设计(论文)的管理工作。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20" w:firstLineChars="200"/>
        <w:jc w:val="both"/>
        <w:textAlignment w:val="auto"/>
        <w:rPr>
          <w:rFonts w:ascii="仿宋" w:hAnsi="仿宋" w:eastAsia="仿宋" w:cs="BPMGOD+·ÂËÎ_GB2312"/>
          <w:spacing w:val="-5"/>
          <w:sz w:val="32"/>
          <w:szCs w:val="32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</w:rPr>
        <w:t>(1)制订毕业设计(论文)工作的有关规范；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20" w:firstLineChars="200"/>
        <w:jc w:val="both"/>
        <w:textAlignment w:val="auto"/>
        <w:rPr>
          <w:rFonts w:ascii="仿宋" w:hAnsi="仿宋" w:eastAsia="仿宋" w:cs="BPMGOD+·ÂËÎ_GB2312"/>
          <w:spacing w:val="-5"/>
          <w:sz w:val="32"/>
          <w:szCs w:val="32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</w:rPr>
        <w:t>(2)协调学校各部门，为毕业设计(论文)工作的顺利进行提供保障；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20" w:firstLineChars="200"/>
        <w:jc w:val="both"/>
        <w:textAlignment w:val="auto"/>
        <w:rPr>
          <w:rFonts w:ascii="仿宋" w:hAnsi="仿宋" w:eastAsia="仿宋" w:cs="BPMGOD+·ÂËÎ_GB2312"/>
          <w:spacing w:val="-5"/>
          <w:sz w:val="32"/>
          <w:szCs w:val="32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</w:rPr>
        <w:t>(3)组织对毕业设计(论文)工作的考核、总结、评估等。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20" w:firstLineChars="200"/>
        <w:jc w:val="both"/>
        <w:textAlignment w:val="auto"/>
        <w:rPr>
          <w:rFonts w:ascii="仿宋" w:hAnsi="仿宋" w:eastAsia="仿宋" w:cs="BPMGOD+·ÂËÎ_GB2312"/>
          <w:spacing w:val="-5"/>
          <w:sz w:val="32"/>
          <w:szCs w:val="32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</w:rPr>
        <w:t>(4)组织校级优秀毕业设计(论文)评选。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4" w:firstLineChars="200"/>
        <w:jc w:val="both"/>
        <w:textAlignment w:val="auto"/>
        <w:rPr>
          <w:rFonts w:ascii="仿宋" w:hAnsi="仿宋" w:eastAsia="仿宋" w:cs="BPMGOD+·ÂËÎ_GB2312"/>
          <w:spacing w:val="1"/>
          <w:sz w:val="32"/>
          <w:szCs w:val="32"/>
        </w:rPr>
      </w:pPr>
      <w:r>
        <w:rPr>
          <w:rFonts w:hint="eastAsia" w:ascii="仿宋" w:hAnsi="仿宋" w:eastAsia="仿宋" w:cs="BPMGOD+·ÂËÎ_GB2312"/>
          <w:spacing w:val="1"/>
          <w:sz w:val="32"/>
          <w:szCs w:val="32"/>
        </w:rPr>
        <w:t>2.二级学院(教学点)的职责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4" w:firstLineChars="200"/>
        <w:jc w:val="both"/>
        <w:textAlignment w:val="auto"/>
        <w:rPr>
          <w:rFonts w:ascii="仿宋" w:hAnsi="仿宋" w:eastAsia="仿宋" w:cs="BPMGOD+·ÂËÎ_GB2312"/>
          <w:spacing w:val="-5"/>
          <w:sz w:val="32"/>
          <w:szCs w:val="32"/>
        </w:rPr>
      </w:pPr>
      <w:r>
        <w:rPr>
          <w:rFonts w:hint="eastAsia" w:ascii="仿宋" w:hAnsi="仿宋" w:eastAsia="仿宋" w:cs="BPMGOD+·ÂËÎ_GB2312"/>
          <w:spacing w:val="1"/>
          <w:sz w:val="32"/>
          <w:szCs w:val="32"/>
        </w:rPr>
        <w:t>各二级学院（教学点）</w:t>
      </w:r>
      <w:r>
        <w:rPr>
          <w:rFonts w:hint="eastAsia" w:ascii="仿宋" w:hAnsi="仿宋" w:eastAsia="仿宋" w:cs="BPMGOD+·ÂËÎ_GB2312"/>
          <w:spacing w:val="-5"/>
          <w:sz w:val="32"/>
          <w:szCs w:val="32"/>
        </w:rPr>
        <w:t>须</w:t>
      </w:r>
      <w:r>
        <w:rPr>
          <w:rFonts w:ascii="仿宋" w:hAnsi="仿宋" w:eastAsia="仿宋" w:cs="BPMGOD+·ÂËÎ_GB2312"/>
          <w:spacing w:val="-5"/>
          <w:sz w:val="32"/>
          <w:szCs w:val="32"/>
        </w:rPr>
        <w:t>成立毕业设计（论文）工作领导小组，负责本</w:t>
      </w:r>
      <w:r>
        <w:rPr>
          <w:rFonts w:hint="eastAsia" w:ascii="仿宋" w:hAnsi="仿宋" w:eastAsia="仿宋" w:cs="BPMGOD+·ÂËÎ_GB2312"/>
          <w:spacing w:val="-5"/>
          <w:sz w:val="32"/>
          <w:szCs w:val="32"/>
        </w:rPr>
        <w:t>单位</w:t>
      </w:r>
      <w:r>
        <w:rPr>
          <w:rFonts w:ascii="仿宋" w:hAnsi="仿宋" w:eastAsia="仿宋" w:cs="BPMGOD+·ÂËÎ_GB2312"/>
          <w:spacing w:val="-5"/>
          <w:sz w:val="32"/>
          <w:szCs w:val="32"/>
        </w:rPr>
        <w:t>毕业设计（论文）工作的实施</w:t>
      </w:r>
      <w:r>
        <w:rPr>
          <w:rFonts w:hint="eastAsia" w:ascii="仿宋" w:hAnsi="仿宋" w:eastAsia="仿宋" w:cs="BPMGOD+·ÂËÎ_GB2312"/>
          <w:spacing w:val="-5"/>
          <w:sz w:val="32"/>
          <w:szCs w:val="32"/>
        </w:rPr>
        <w:t>和管理。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(1)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制订毕业设计（论文）工作计划；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(2)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对毕业班学生进行毕业设计（论文）工作动员；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(3)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组建各专业毕业设计（论文）指导小组，落实指导教师；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(4)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开展毕业设计（论文）的选题、审题工作；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(5)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关注毕业设计（论文）工作进展情况，对毕业设计（论文）各个阶段实施检查；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(6)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成立毕业设计（论文）答辩委员会，组织毕业设计（论文）的评审、答辩工作；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(7)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组织报送毕业设计（论文）的抽检材料和优秀毕业设计（论文）的推荐工作；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20" w:firstLineChars="200"/>
        <w:textAlignment w:val="auto"/>
        <w:rPr>
          <w:rFonts w:ascii="仿宋" w:hAnsi="仿宋" w:eastAsia="仿宋" w:cs="BPMGOD+·ÂËÎ_GB2312"/>
          <w:spacing w:val="1"/>
          <w:sz w:val="32"/>
          <w:szCs w:val="32"/>
          <w:lang w:eastAsia="zh-CN"/>
        </w:rPr>
      </w:pPr>
      <w:r>
        <w:rPr>
          <w:rFonts w:hint="eastAsia" w:ascii="仿宋" w:hAnsi="仿宋" w:eastAsia="仿宋" w:cs="BPMGOD+·ÂËÎ_GB2312"/>
          <w:spacing w:val="-5"/>
          <w:sz w:val="32"/>
          <w:szCs w:val="32"/>
          <w:lang w:eastAsia="zh-CN"/>
        </w:rPr>
        <w:t>(8)</w:t>
      </w:r>
      <w:r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  <w:t>对毕业设计（论文）工作进行总结、分析，归档各种相关资料。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8" w:firstLineChars="282"/>
        <w:jc w:val="both"/>
        <w:textAlignment w:val="auto"/>
        <w:rPr>
          <w:rFonts w:ascii="黑体" w:hAnsi="黑体" w:eastAsia="黑体" w:cs="BPMGOD+·ÂËÎ_GB2312"/>
          <w:spacing w:val="1"/>
          <w:sz w:val="32"/>
          <w:szCs w:val="32"/>
        </w:rPr>
      </w:pPr>
      <w:r>
        <w:rPr>
          <w:rFonts w:hint="eastAsia" w:ascii="黑体" w:hAnsi="黑体" w:eastAsia="黑体" w:cs="BPMGOD+·ÂËÎ_GB2312"/>
          <w:spacing w:val="1"/>
          <w:sz w:val="32"/>
          <w:szCs w:val="32"/>
        </w:rPr>
        <w:t>三、毕业设计(论文)的工作内容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1.毕业设计(论文)工作内容及流程包括：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布选题→下达任务书→提交开题报告→毕业设计(论文)初稿指导→中期检查→毕业设计(论文)反抄袭检测→毕业设计(论文)定稿→毕业设计(论文)评阅→毕业设计(论文)答辩→毕业设计(论文)成绩评定→毕业设计(论文)材料归档→总结评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2.毕业设计(论文)工作一般从第五学期开始至第六学期结束。</w:t>
      </w:r>
    </w:p>
    <w:tbl>
      <w:tblPr>
        <w:tblStyle w:val="10"/>
        <w:tblW w:w="86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58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jc w:val="center"/>
              <w:textAlignment w:val="auto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jc w:val="center"/>
              <w:textAlignment w:val="auto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工作内容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第五学期第01-07周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1.制定毕业设计(论文)工作计划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2.给学生做毕业设计(论文)工作辅导讲座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3.选定毕业设计(论文)指导教师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4.毕业设计(论文)选题信息提交与审核、公布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5.学生选择毕业设计(论文)选题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第五学期第08周-11周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1.指导教师下发毕业设计(论文)任务书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2.二级学院（教学点）审核、公布任务书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第五学期第12周-16周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1.学生开展调查分析、文献研究、方案设计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2.学生提交毕业设计(论文)开题报告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 二级学院（教学点）审核开题报告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第五学期第17周至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第六学期第04周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1.指导教师跟踪指导、填写指导记录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2.学生完成毕业设计(论文)初稿提交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3.中期检查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第六学期第05周-07周</w:t>
            </w:r>
          </w:p>
        </w:tc>
        <w:tc>
          <w:tcPr>
            <w:tcW w:w="583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1.毕业设计(论文)反抄袭检测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2.学生完成毕业设计(论文)定稿提交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3.指导教师评定指导成绩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第六学期第08周-09周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1.组织毕业设计(论文)评阅工作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2.评阅教师评定评阅成绩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第六学期第10周-12周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1.审核学生毕业设计(论文)答辩资格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2.设置答辩工作组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3.组织毕业设计(论文)答辩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4.填写答辩意见，评定答辩成绩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第六学期第13周-14周</w:t>
            </w:r>
          </w:p>
        </w:tc>
        <w:tc>
          <w:tcPr>
            <w:tcW w:w="583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1.推荐校级优秀毕业设计(论文)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firstLine="198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2.整理并收存毕业设计(论文)档案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毕业设计(论文)工作应提交毕业设计（论文）系统材料包括：毕业设计(论文)任务书、开题报告、诚信承诺书、中期检查表、论文定稿(含作品)、查重报告、指导记录、评阅记录。纸质答辩记录表，以班级为单位由二级学院（教学点）归存档毕业设计(论文)工作结束后，各项材料收存与保管由各二级学院（教学点）毕业设计(论文)工作小组组织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毕业设计(论文)必须由学生独立完成，包括：制定计划、文献资料的检索与阅读、调查研究与实验、方案比较与选择、数据分析与处理、撰写设计报告(论文)等。毕业设计(论文)期间，学生应树立严肃、严密、严谨的科学作风，制定出合理的时间安排表；积极、主动与指导教师联系，虚心听取教师指导，按照题目和任务的要求开展工作；经指导教师认可批准后，在规定的日期内完成毕业论文(设计)。不允许抄袭他人的成果，更不允许由别人代作。如有类似的情节发现，将取消答辩资格，延缓毕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2" w:firstLineChars="282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四、毕业设计(论文)选题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毕业设计(论文)的选题应从专业人才培养目标出发，题目应当具有综合性的特点，既能反映人才培养方案基本要求，又有一定实践难度，有利于达到综合训练、提高职业综合能力的目的。为此，应在满足基本要求的前提下，尽量结合生产实际进行，每届学生的毕业设计(论文)题目至少要有三分之一的更新率。题目要从学生的实际水平和毕业设计(论文)的实际出发，既考虑课程的综合性又要份量适当，保证在规定时间内经过努力能按时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选题的类型可以包括调查报告、方案设计、项目改造与创新、应用软件设计或其他理论应用型论文，必须主题明确，有自己的观点，有理有据、有创意。商贸、经管类专业可选择应用研究、调研报告、文献综合等类型；理工科专业选题可选择工程设计、实验研究、计算机软件设计及其配套的项目文档等，也可以为工程类的应用研究、调研报告、文献综合等类型；艺术类专业可选择艺术设计、产品设计、媒体策划等类型。各专业应根据本专业特点，在选题时有所侧重，结合当前科技、经济发展的实际问题，尽可能安排具有提高性、拓展性的应用实践型选题。毕业设计（论文）字数一般为4000～6000字；理工科</w:t>
      </w:r>
      <w:r>
        <w:rPr>
          <w:rFonts w:ascii="仿宋" w:hAnsi="仿宋" w:eastAsia="仿宋"/>
          <w:sz w:val="32"/>
          <w:szCs w:val="32"/>
        </w:rPr>
        <w:t>专业、艺术类专业等</w:t>
      </w:r>
      <w:r>
        <w:rPr>
          <w:rFonts w:hint="eastAsia" w:ascii="仿宋" w:hAnsi="仿宋" w:eastAsia="仿宋"/>
          <w:sz w:val="32"/>
          <w:szCs w:val="32"/>
        </w:rPr>
        <w:t>可在</w:t>
      </w:r>
      <w:r>
        <w:rPr>
          <w:rFonts w:ascii="仿宋" w:hAnsi="仿宋" w:eastAsia="仿宋"/>
          <w:sz w:val="32"/>
          <w:szCs w:val="32"/>
        </w:rPr>
        <w:t>完成</w:t>
      </w:r>
      <w:r>
        <w:rPr>
          <w:rFonts w:hint="eastAsia" w:ascii="仿宋" w:hAnsi="仿宋" w:eastAsia="仿宋"/>
          <w:sz w:val="32"/>
          <w:szCs w:val="32"/>
        </w:rPr>
        <w:t>开发</w:t>
      </w:r>
      <w:r>
        <w:rPr>
          <w:rFonts w:ascii="仿宋" w:hAnsi="仿宋" w:eastAsia="仿宋"/>
          <w:sz w:val="32"/>
          <w:szCs w:val="32"/>
        </w:rPr>
        <w:t>、设计</w:t>
      </w:r>
      <w:r>
        <w:rPr>
          <w:rFonts w:hint="eastAsia" w:ascii="仿宋" w:hAnsi="仿宋" w:eastAsia="仿宋"/>
          <w:sz w:val="32"/>
          <w:szCs w:val="32"/>
        </w:rPr>
        <w:t>工作量</w:t>
      </w:r>
      <w:r>
        <w:rPr>
          <w:rFonts w:ascii="仿宋" w:hAnsi="仿宋" w:eastAsia="仿宋"/>
          <w:sz w:val="32"/>
          <w:szCs w:val="32"/>
        </w:rPr>
        <w:t>后，</w:t>
      </w: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ascii="仿宋" w:hAnsi="仿宋" w:eastAsia="仿宋"/>
          <w:sz w:val="32"/>
          <w:szCs w:val="32"/>
        </w:rPr>
        <w:t>实际情况适当放宽字数限制</w:t>
      </w:r>
      <w:r>
        <w:rPr>
          <w:rFonts w:hint="eastAsia" w:ascii="仿宋" w:hAnsi="仿宋" w:eastAsia="仿宋"/>
          <w:sz w:val="32"/>
          <w:szCs w:val="32"/>
        </w:rPr>
        <w:t>，最少不低于3000字，由</w:t>
      </w:r>
      <w:r>
        <w:rPr>
          <w:rFonts w:ascii="仿宋" w:hAnsi="仿宋" w:eastAsia="仿宋"/>
          <w:sz w:val="32"/>
          <w:szCs w:val="32"/>
        </w:rPr>
        <w:t>院部</w:t>
      </w:r>
      <w:r>
        <w:rPr>
          <w:rFonts w:hint="eastAsia" w:ascii="仿宋" w:hAnsi="仿宋" w:eastAsia="仿宋"/>
          <w:sz w:val="32"/>
          <w:szCs w:val="32"/>
        </w:rPr>
        <w:t>提交方案</w:t>
      </w:r>
      <w:r>
        <w:rPr>
          <w:rFonts w:ascii="仿宋" w:hAnsi="仿宋" w:eastAsia="仿宋"/>
          <w:sz w:val="32"/>
          <w:szCs w:val="32"/>
        </w:rPr>
        <w:t>，教务处备案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选题主要由指导教师提出，也可由学生提出，二级学院（教学点）应认真审核，应确保来自于合作企业、生产、社会实践的选题比例，反映经济、社会、文化实际问题的选题比例，实用价值大、实践意义强、富有创新性的选题比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本着双方自愿、合理调配的原则，二级学院（教学点）应在规定时间内落实学生选题及指导教师，选题一般要求一人一题，如果同一选题需两名或两名以上学生完成，指导教师需在任务书中明确每个学生独立完成的工作内容，分别指导及进行成绩评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2" w:firstLineChars="282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五、指导教师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指导教师原则上必须由具有中级及以上职称并具有一定实践经验、一定专业科研水平和科研背景的教师担任。可聘请相关单位符合指导教师资格的人员担任指导教师，同时必须指派一名专任教师作为联系人，协助处理毕业设计(论文)工作中的有关问题。由于学生人数较多而指导教师数量不足时，可由具有硕士及以上学位的助教担任指导教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2.每位校内专任教师指导的学生数原则上不得超过15名，每位校内非专任教师、校外指导教师指导学生人数不超过10人，特殊情况须经教务处审批。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指导教师由教研室安排，经二级学院（教学点）审批并报教务处备案后不得随意更换。指导教师的具体任务包括：确定选题、下达毕业设计(论文)任务书、指导学生开展调研与分析、指导学生进行方案设计、工作进程与质量的检查、中期检查、指导学生正确撰写毕业设计(论文)、撰写指导教师评语、评定指导成绩(百分制)、收集学生毕业设计(论文)资料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指导教师除完成上述任务外，还应在对学生进行业务指导的同时，重视学生分析与解决问题能力、创新与实践能力及独立工作能力的培养，引导学生养成正确的思维方法、严谨的工作作风和求实的科学态度，充分发挥学生的主动性和创造精神，既不包办代替，也不放任自流，及时纠正毕业设计(论文)中脱离实际的倾向，坚决处理弄虚作假、抄袭等不良行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2" w:firstLineChars="282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六、毕业设计(论文)反抄袭检测和评阅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1.所有毕业设计(论文)首先应充分自检，在此基础上二级学院（教学点）用学校指定反抄袭软件再次进行检测，毕业设计(论文)重复率须低于30%，未达标者不得进入毕业设计（论文）答辩环节。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毕业设计(论文)评阅工作必须由指导教师和一名评阅教师分别给出成绩，评阅教师由二级学院（教学点）确定。评阅以交叉形式进行，指导教师不对自己指导的学生进行评阅。评阅教师对毕业设计(论文)进行评阅后，以百分制形式给出评阅成绩并提交评价意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2" w:firstLineChars="282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七、毕业设计(论文)答辩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各二级学院（教学点）毕业设计(论文)工作组根据指导教师和评阅教师的评定成绩，对学生的答辩资格进行审查、确定答辩学生名单和日程。以下情况之一的学生，不得参加答辩：(1)未完成《任务书》工作量要求二分之一者；(2)指导教师或评阅教师中一方未评定成绩者；(3)指导教师或评阅教师给出的评定成绩有一方低于60分者；(4)剽窃他人成果或直接抄袭他人成果者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2.具体答辩工作由答辩小组完成。答辩小组由符合指导教师资格的人员组成，每组不得少于3人，另设答辩秘书1人。答辩小组的人员设置由二级学院（教学点）组织并安排，报教务处备案、备案后不得随意更换。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.所有学生必须参加毕业设计(论文)的小组答辩。学生答辩一般包括学生阐述、教师提问及学生回答。答辩小组根据学生毕业设计(论文)完成情况及答辩情况以百分制形式评定学生毕业设计(论文)答辩成绩并给出评语。小组答辩中有争议的毕业设计(论文)可由各二级学院（教学点）毕业设计(论文)工作组主持进行争议答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2" w:firstLineChars="282"/>
        <w:jc w:val="both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八、毕业设计(论文)成绩评定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1.毕业设计(论文)的总评成绩由指导教师的指导成绩、评阅教师的评阅成绩、答辩小组的答辩成绩按5:2:3 的比例核定；总评成绩采用百分制计入学生成绩档案；</w:t>
      </w:r>
      <w:bookmarkStart w:id="0" w:name="_Hlk64973330"/>
      <w:r>
        <w:rPr>
          <w:rFonts w:hint="eastAsia" w:ascii="仿宋" w:hAnsi="仿宋" w:eastAsia="仿宋"/>
          <w:sz w:val="32"/>
          <w:szCs w:val="32"/>
        </w:rPr>
        <w:t>各专业总评成绩90 分以上（含）的学生</w:t>
      </w:r>
      <w:bookmarkEnd w:id="0"/>
      <w:r>
        <w:rPr>
          <w:rFonts w:hint="eastAsia" w:ascii="仿宋" w:hAnsi="仿宋" w:eastAsia="仿宋"/>
          <w:sz w:val="32"/>
          <w:szCs w:val="32"/>
        </w:rPr>
        <w:t>数不得超过</w:t>
      </w:r>
      <w:bookmarkStart w:id="1" w:name="_Hlk64973483"/>
      <w:r>
        <w:rPr>
          <w:rFonts w:hint="eastAsia" w:ascii="仿宋" w:hAnsi="仿宋" w:eastAsia="仿宋"/>
          <w:sz w:val="32"/>
          <w:szCs w:val="32"/>
        </w:rPr>
        <w:t>本专业参加毕业设计（论文）学生总数的</w:t>
      </w:r>
      <w:bookmarkEnd w:id="1"/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2.各二级学院（教学点）各专业须从本专业总评成绩</w:t>
      </w:r>
      <w:r>
        <w:rPr>
          <w:rFonts w:ascii="仿宋" w:hAnsi="仿宋" w:eastAsia="仿宋"/>
          <w:sz w:val="32"/>
          <w:szCs w:val="32"/>
        </w:rPr>
        <w:t>80</w:t>
      </w:r>
      <w:r>
        <w:rPr>
          <w:rFonts w:hint="eastAsia" w:ascii="仿宋" w:hAnsi="仿宋" w:eastAsia="仿宋"/>
          <w:sz w:val="32"/>
          <w:szCs w:val="32"/>
        </w:rPr>
        <w:t>分以上（含）的学生中遴选推荐参加校级优秀毕业设计(论文)的评选，推荐比例不超过本专业参加毕业设计（论文）学生总数的的5%。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3.教务处负责组织校级优秀毕业设计(论文)评审，比例不超过毕业设计（论文）</w:t>
      </w:r>
      <w:r>
        <w:rPr>
          <w:rFonts w:ascii="仿宋" w:hAnsi="仿宋" w:eastAsia="仿宋"/>
          <w:sz w:val="32"/>
          <w:szCs w:val="32"/>
        </w:rPr>
        <w:t>总数的</w:t>
      </w:r>
      <w:r>
        <w:rPr>
          <w:rFonts w:hint="eastAsia" w:ascii="仿宋" w:hAnsi="仿宋" w:eastAsia="仿宋"/>
          <w:sz w:val="32"/>
          <w:szCs w:val="32"/>
        </w:rPr>
        <w:t>5%。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4.教务处负责组织校级毕业设计(论文)的抽检，抽检数量为当届学生毕业设计（论文）总数的20%。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902" w:firstLineChars="282"/>
        <w:jc w:val="both"/>
        <w:textAlignment w:val="auto"/>
        <w:rPr>
          <w:rFonts w:ascii="黑体" w:hAnsi="黑体" w:eastAsia="黑体"/>
          <w:sz w:val="32"/>
          <w:szCs w:val="32"/>
        </w:rPr>
      </w:pPr>
      <w:bookmarkStart w:id="2" w:name="_GoBack"/>
      <w:bookmarkEnd w:id="2"/>
      <w:r>
        <w:rPr>
          <w:rFonts w:hint="eastAsia" w:ascii="黑体" w:hAnsi="黑体" w:eastAsia="黑体"/>
          <w:sz w:val="32"/>
          <w:szCs w:val="32"/>
        </w:rPr>
        <w:t>九、其它说明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1.省级优秀毕业设计(论文)奖励如下：</w:t>
      </w:r>
      <w:r>
        <w:rPr>
          <w:rFonts w:ascii="仿宋" w:hAnsi="仿宋" w:eastAsia="仿宋"/>
          <w:sz w:val="32"/>
          <w:szCs w:val="32"/>
        </w:rPr>
        <w:t xml:space="preserve"> </w:t>
      </w:r>
    </w:p>
    <w:tbl>
      <w:tblPr>
        <w:tblStyle w:val="10"/>
        <w:tblW w:w="82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2753"/>
        <w:gridCol w:w="2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27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奖励等级</w:t>
            </w:r>
          </w:p>
        </w:tc>
        <w:tc>
          <w:tcPr>
            <w:tcW w:w="2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1"/>
                <w:szCs w:val="21"/>
              </w:rPr>
              <w:t>奖励金额(元)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优秀毕业设计(论文)</w:t>
            </w:r>
          </w:p>
        </w:tc>
        <w:tc>
          <w:tcPr>
            <w:tcW w:w="27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一等奖</w:t>
            </w:r>
          </w:p>
        </w:tc>
        <w:tc>
          <w:tcPr>
            <w:tcW w:w="2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7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7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二等奖</w:t>
            </w:r>
          </w:p>
        </w:tc>
        <w:tc>
          <w:tcPr>
            <w:tcW w:w="2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27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</w:p>
        </w:tc>
        <w:tc>
          <w:tcPr>
            <w:tcW w:w="27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三等奖</w:t>
            </w:r>
          </w:p>
        </w:tc>
        <w:tc>
          <w:tcPr>
            <w:tcW w:w="2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200"/>
              <w:jc w:val="center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3000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2.学校开展年度校级优秀毕业</w:t>
      </w:r>
      <w:r>
        <w:rPr>
          <w:rFonts w:ascii="仿宋" w:hAnsi="仿宋" w:eastAsia="仿宋"/>
          <w:sz w:val="32"/>
          <w:szCs w:val="32"/>
        </w:rPr>
        <w:t>论文</w:t>
      </w:r>
      <w:r>
        <w:rPr>
          <w:rFonts w:hint="eastAsia" w:ascii="仿宋" w:hAnsi="仿宋" w:eastAsia="仿宋"/>
          <w:sz w:val="32"/>
          <w:szCs w:val="32"/>
        </w:rPr>
        <w:t>指导</w:t>
      </w:r>
      <w:r>
        <w:rPr>
          <w:rFonts w:ascii="仿宋" w:hAnsi="仿宋" w:eastAsia="仿宋"/>
          <w:sz w:val="32"/>
          <w:szCs w:val="32"/>
        </w:rPr>
        <w:t>教师</w:t>
      </w:r>
      <w:r>
        <w:rPr>
          <w:rFonts w:hint="eastAsia" w:ascii="仿宋" w:hAnsi="仿宋" w:eastAsia="仿宋"/>
          <w:sz w:val="32"/>
          <w:szCs w:val="32"/>
        </w:rPr>
        <w:t>评选工作。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指导教师工作量计算办法参见《南京城市职业学院教师工作量计算办法》。学校抽检不合格的毕业设计(论文)限期整改，经整改后不合格，指导教师该项工作量计为0；省厅抽检不合格的毕业设计(论文)，除需勒令整改之外，指导教师该项工作量计为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本管理办法自颁布之日起实施，原《南京城市职业学院毕业作业管理规范》（宁城职院【2010】67号）即行废止。本办法由教务处负责解释。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00"/>
        <w:textAlignment w:val="auto"/>
        <w:rPr>
          <w:rFonts w:ascii="仿宋" w:hAnsi="仿宋" w:eastAsia="仿宋" w:cs="BPMGOD+·ÂËÎ_GB2312"/>
          <w:b/>
          <w:spacing w:val="-5"/>
          <w:sz w:val="32"/>
          <w:szCs w:val="32"/>
          <w:lang w:eastAsia="zh-CN"/>
        </w:rPr>
      </w:pP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00"/>
        <w:jc w:val="right"/>
        <w:textAlignment w:val="auto"/>
        <w:rPr>
          <w:rFonts w:ascii="仿宋" w:hAnsi="仿宋" w:eastAsia="仿宋" w:cs="BPMGOD+·ÂËÎ_GB2312"/>
          <w:spacing w:val="-5"/>
          <w:sz w:val="32"/>
          <w:szCs w:val="32"/>
          <w:lang w:eastAsia="zh-CN"/>
        </w:rPr>
      </w:pPr>
    </w:p>
    <w:sectPr>
      <w:pgSz w:w="11900" w:h="16820"/>
      <w:pgMar w:top="2041" w:right="1247" w:bottom="1588" w:left="1644" w:header="720" w:footer="720" w:gutter="0"/>
      <w:pgNumType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JTIVKR+ºÚÌå">
    <w:altName w:val="Segoe Print"/>
    <w:panose1 w:val="00000000000000000000"/>
    <w:charset w:val="01"/>
    <w:family w:val="modern"/>
    <w:pitch w:val="default"/>
    <w:sig w:usb0="00000000" w:usb1="00000000" w:usb2="01010101" w:usb3="01010101" w:csb0="01010101" w:csb1="01010101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PMGOD+·ÂËÎ_GB2312">
    <w:altName w:val="Segoe Print"/>
    <w:panose1 w:val="00000000000000000000"/>
    <w:charset w:val="01"/>
    <w:family w:val="modern"/>
    <w:pitch w:val="default"/>
    <w:sig w:usb0="00000000" w:usb1="00000000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kYTIxYTJiODk5ZDZmODM5NWY1NTU5YjU0YTQ3ZmYifQ=="/>
  </w:docVars>
  <w:rsids>
    <w:rsidRoot w:val="00172A27"/>
    <w:rsid w:val="00031203"/>
    <w:rsid w:val="00032802"/>
    <w:rsid w:val="00056EE1"/>
    <w:rsid w:val="00070244"/>
    <w:rsid w:val="00073DBD"/>
    <w:rsid w:val="000A4E2D"/>
    <w:rsid w:val="000A57A3"/>
    <w:rsid w:val="000F36E2"/>
    <w:rsid w:val="00115FD8"/>
    <w:rsid w:val="00172A27"/>
    <w:rsid w:val="00186CB2"/>
    <w:rsid w:val="001F2EF6"/>
    <w:rsid w:val="002034E5"/>
    <w:rsid w:val="00253DF3"/>
    <w:rsid w:val="002F54AA"/>
    <w:rsid w:val="0033295B"/>
    <w:rsid w:val="003762A8"/>
    <w:rsid w:val="003809A3"/>
    <w:rsid w:val="003D1D71"/>
    <w:rsid w:val="003F343A"/>
    <w:rsid w:val="00436ABC"/>
    <w:rsid w:val="0044224D"/>
    <w:rsid w:val="004562D6"/>
    <w:rsid w:val="0049398A"/>
    <w:rsid w:val="00493C02"/>
    <w:rsid w:val="004A01D4"/>
    <w:rsid w:val="004D1DFA"/>
    <w:rsid w:val="0050437B"/>
    <w:rsid w:val="00515852"/>
    <w:rsid w:val="00542F9F"/>
    <w:rsid w:val="00544BDA"/>
    <w:rsid w:val="00563D4C"/>
    <w:rsid w:val="005A725F"/>
    <w:rsid w:val="005D7B40"/>
    <w:rsid w:val="00600A4C"/>
    <w:rsid w:val="006063D4"/>
    <w:rsid w:val="00624591"/>
    <w:rsid w:val="0065763E"/>
    <w:rsid w:val="0066260B"/>
    <w:rsid w:val="00676CE4"/>
    <w:rsid w:val="00687CBF"/>
    <w:rsid w:val="006B3401"/>
    <w:rsid w:val="006B3F72"/>
    <w:rsid w:val="0077294E"/>
    <w:rsid w:val="007A4457"/>
    <w:rsid w:val="007A68DE"/>
    <w:rsid w:val="007A76DF"/>
    <w:rsid w:val="007F4AC3"/>
    <w:rsid w:val="0082534F"/>
    <w:rsid w:val="00846A0A"/>
    <w:rsid w:val="00851DDA"/>
    <w:rsid w:val="00882B8D"/>
    <w:rsid w:val="0088716E"/>
    <w:rsid w:val="008C2766"/>
    <w:rsid w:val="008C37AF"/>
    <w:rsid w:val="008E0642"/>
    <w:rsid w:val="008E15BE"/>
    <w:rsid w:val="00914E51"/>
    <w:rsid w:val="0095712F"/>
    <w:rsid w:val="00980C49"/>
    <w:rsid w:val="009A1B72"/>
    <w:rsid w:val="00A015AD"/>
    <w:rsid w:val="00A13664"/>
    <w:rsid w:val="00A27981"/>
    <w:rsid w:val="00A63941"/>
    <w:rsid w:val="00A77B3E"/>
    <w:rsid w:val="00AB516E"/>
    <w:rsid w:val="00AC7BD4"/>
    <w:rsid w:val="00AD7AED"/>
    <w:rsid w:val="00AE196E"/>
    <w:rsid w:val="00B1077A"/>
    <w:rsid w:val="00B112D4"/>
    <w:rsid w:val="00B63428"/>
    <w:rsid w:val="00B83603"/>
    <w:rsid w:val="00B9360F"/>
    <w:rsid w:val="00B9693F"/>
    <w:rsid w:val="00C13B8B"/>
    <w:rsid w:val="00C16BA8"/>
    <w:rsid w:val="00C31897"/>
    <w:rsid w:val="00C50814"/>
    <w:rsid w:val="00C9339E"/>
    <w:rsid w:val="00CA2A55"/>
    <w:rsid w:val="00CD157E"/>
    <w:rsid w:val="00D07D0B"/>
    <w:rsid w:val="00D144E1"/>
    <w:rsid w:val="00D456A3"/>
    <w:rsid w:val="00D748BF"/>
    <w:rsid w:val="00D75251"/>
    <w:rsid w:val="00D924B9"/>
    <w:rsid w:val="00D959E8"/>
    <w:rsid w:val="00DB6E22"/>
    <w:rsid w:val="00DE6EDA"/>
    <w:rsid w:val="00E068EC"/>
    <w:rsid w:val="00E10AEC"/>
    <w:rsid w:val="00E20DBF"/>
    <w:rsid w:val="00E27206"/>
    <w:rsid w:val="00E3184D"/>
    <w:rsid w:val="00E36539"/>
    <w:rsid w:val="00E80789"/>
    <w:rsid w:val="00E83A3C"/>
    <w:rsid w:val="00EA244A"/>
    <w:rsid w:val="00EB0026"/>
    <w:rsid w:val="00EC7708"/>
    <w:rsid w:val="00EE66F7"/>
    <w:rsid w:val="00F07ECB"/>
    <w:rsid w:val="00F1553C"/>
    <w:rsid w:val="00F62CE2"/>
    <w:rsid w:val="00FD38FA"/>
    <w:rsid w:val="00FE2B61"/>
    <w:rsid w:val="00FF1711"/>
    <w:rsid w:val="02CB0374"/>
    <w:rsid w:val="05A6098F"/>
    <w:rsid w:val="08A613E5"/>
    <w:rsid w:val="0D5231C3"/>
    <w:rsid w:val="0E015A9D"/>
    <w:rsid w:val="136B1E91"/>
    <w:rsid w:val="17FB0B1A"/>
    <w:rsid w:val="199D2245"/>
    <w:rsid w:val="1B1F7E17"/>
    <w:rsid w:val="26722842"/>
    <w:rsid w:val="33264D07"/>
    <w:rsid w:val="33DE3597"/>
    <w:rsid w:val="35197BD3"/>
    <w:rsid w:val="38E479E6"/>
    <w:rsid w:val="3B6406F4"/>
    <w:rsid w:val="3EBE5397"/>
    <w:rsid w:val="41CF03B0"/>
    <w:rsid w:val="44E25640"/>
    <w:rsid w:val="48B44CE2"/>
    <w:rsid w:val="4B6E325D"/>
    <w:rsid w:val="4DB17F9F"/>
    <w:rsid w:val="4E8971DB"/>
    <w:rsid w:val="5B020EE1"/>
    <w:rsid w:val="5B990BDA"/>
    <w:rsid w:val="61ED090F"/>
    <w:rsid w:val="62255614"/>
    <w:rsid w:val="622A03CE"/>
    <w:rsid w:val="633B65B0"/>
    <w:rsid w:val="63863137"/>
    <w:rsid w:val="6A6D3E2A"/>
    <w:rsid w:val="712E7030"/>
    <w:rsid w:val="730B3A30"/>
    <w:rsid w:val="79E53A92"/>
    <w:rsid w:val="7A36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</w:style>
  <w:style w:type="paragraph" w:styleId="4">
    <w:name w:val="Body Text Indent 2"/>
    <w:basedOn w:val="1"/>
    <w:link w:val="22"/>
    <w:qFormat/>
    <w:uiPriority w:val="0"/>
    <w:pPr>
      <w:widowControl w:val="0"/>
      <w:spacing w:line="360" w:lineRule="exact"/>
      <w:ind w:firstLine="549" w:firstLineChars="200"/>
      <w:jc w:val="both"/>
    </w:pPr>
    <w:rPr>
      <w:rFonts w:ascii="宋体" w:hAnsi="宋体" w:eastAsia="宋体"/>
      <w:kern w:val="2"/>
      <w:sz w:val="28"/>
    </w:r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link w:val="23"/>
    <w:qFormat/>
    <w:uiPriority w:val="0"/>
    <w:pPr>
      <w:widowControl w:val="0"/>
      <w:spacing w:line="360" w:lineRule="exact"/>
      <w:ind w:firstLine="560" w:firstLineChars="200"/>
      <w:jc w:val="both"/>
    </w:pPr>
    <w:rPr>
      <w:rFonts w:ascii="宋体" w:hAnsi="宋体" w:eastAsia="宋体"/>
      <w:color w:val="000000"/>
      <w:kern w:val="2"/>
      <w:sz w:val="28"/>
      <w:szCs w:val="21"/>
    </w:rPr>
  </w:style>
  <w:style w:type="paragraph" w:styleId="9">
    <w:name w:val="annotation subject"/>
    <w:basedOn w:val="3"/>
    <w:next w:val="3"/>
    <w:link w:val="19"/>
    <w:qFormat/>
    <w:uiPriority w:val="0"/>
    <w:rPr>
      <w:b/>
      <w:bCs/>
    </w:rPr>
  </w:style>
  <w:style w:type="character" w:styleId="12">
    <w:name w:val="annotation reference"/>
    <w:basedOn w:val="11"/>
    <w:qFormat/>
    <w:uiPriority w:val="0"/>
    <w:rPr>
      <w:sz w:val="21"/>
      <w:szCs w:val="21"/>
    </w:rPr>
  </w:style>
  <w:style w:type="paragraph" w:customStyle="1" w:styleId="13">
    <w:name w:val="Normal_0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4">
    <w:name w:val="Normal_1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5">
    <w:name w:val="Normal_2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6">
    <w:name w:val="Normal_3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7">
    <w:name w:val="Normal_4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8">
    <w:name w:val="批注文字 Char"/>
    <w:basedOn w:val="11"/>
    <w:link w:val="3"/>
    <w:qFormat/>
    <w:uiPriority w:val="0"/>
    <w:rPr>
      <w:rFonts w:ascii="Times New Roman" w:hAnsi="Times New Roman" w:eastAsiaTheme="minorEastAsia"/>
      <w:sz w:val="24"/>
      <w:szCs w:val="24"/>
    </w:rPr>
  </w:style>
  <w:style w:type="character" w:customStyle="1" w:styleId="19">
    <w:name w:val="批注主题 Char"/>
    <w:basedOn w:val="18"/>
    <w:link w:val="9"/>
    <w:qFormat/>
    <w:uiPriority w:val="0"/>
    <w:rPr>
      <w:rFonts w:ascii="Times New Roman" w:hAnsi="Times New Roman" w:eastAsiaTheme="minorEastAsia"/>
      <w:b/>
      <w:bCs/>
      <w:sz w:val="24"/>
      <w:szCs w:val="24"/>
    </w:rPr>
  </w:style>
  <w:style w:type="character" w:customStyle="1" w:styleId="20">
    <w:name w:val="批注框文本 Char"/>
    <w:basedOn w:val="11"/>
    <w:link w:val="5"/>
    <w:qFormat/>
    <w:uiPriority w:val="0"/>
    <w:rPr>
      <w:rFonts w:ascii="Times New Roman" w:hAnsi="Times New Roman" w:eastAsiaTheme="minorEastAsia"/>
      <w:sz w:val="18"/>
      <w:szCs w:val="18"/>
    </w:rPr>
  </w:style>
  <w:style w:type="character" w:customStyle="1" w:styleId="21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2">
    <w:name w:val="正文文本缩进 2 Char"/>
    <w:basedOn w:val="11"/>
    <w:link w:val="4"/>
    <w:qFormat/>
    <w:uiPriority w:val="0"/>
    <w:rPr>
      <w:rFonts w:ascii="宋体" w:hAnsi="宋体"/>
      <w:kern w:val="2"/>
      <w:sz w:val="28"/>
      <w:szCs w:val="24"/>
    </w:rPr>
  </w:style>
  <w:style w:type="character" w:customStyle="1" w:styleId="23">
    <w:name w:val="正文文本缩进 3 Char"/>
    <w:basedOn w:val="11"/>
    <w:link w:val="8"/>
    <w:qFormat/>
    <w:uiPriority w:val="0"/>
    <w:rPr>
      <w:rFonts w:ascii="宋体" w:hAnsi="宋体"/>
      <w:color w:val="000000"/>
      <w:kern w:val="2"/>
      <w:sz w:val="28"/>
      <w:szCs w:val="21"/>
    </w:rPr>
  </w:style>
  <w:style w:type="character" w:customStyle="1" w:styleId="24">
    <w:name w:val="页眉 Char"/>
    <w:basedOn w:val="11"/>
    <w:link w:val="7"/>
    <w:qFormat/>
    <w:uiPriority w:val="0"/>
    <w:rPr>
      <w:rFonts w:ascii="Times New Roman" w:hAnsi="Times New Roman" w:eastAsiaTheme="minorEastAsia"/>
      <w:sz w:val="18"/>
      <w:szCs w:val="18"/>
    </w:rPr>
  </w:style>
  <w:style w:type="character" w:customStyle="1" w:styleId="25">
    <w:name w:val="页脚 Char"/>
    <w:basedOn w:val="11"/>
    <w:link w:val="6"/>
    <w:qFormat/>
    <w:uiPriority w:val="0"/>
    <w:rPr>
      <w:rFonts w:ascii="Times New Roman" w:hAnsi="Times New Roman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兴业银行</Company>
  <Pages>11</Pages>
  <Words>4529</Words>
  <Characters>4687</Characters>
  <Lines>129</Lines>
  <Paragraphs>112</Paragraphs>
  <TotalTime>1259</TotalTime>
  <ScaleCrop>false</ScaleCrop>
  <LinksUpToDate>false</LinksUpToDate>
  <CharactersWithSpaces>4692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2021-12-24T02:36:00Z</dcterms:created>
  <dc:creator>Administrator</dc:creator>
  <cp:lastModifiedBy>孙维佳</cp:lastModifiedBy>
  <dcterms:modified xsi:type="dcterms:W3CDTF">2024-07-05T02:21:39Z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582F3A549E924344A0593075FEEE3DB8</vt:lpwstr>
  </property>
</Properties>
</file>